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4"/>
      </w:pPr>
      <w:r>
        <w:rPr/>
      </w:r>
    </w:p>
    <w:p>
      <w:pPr>
        <w:pStyle w:val="style24"/>
      </w:pPr>
      <w:r>
        <w:rPr/>
      </w:r>
    </w:p>
    <w:p>
      <w:pPr>
        <w:pStyle w:val="style24"/>
      </w:pPr>
      <w:r>
        <w:rPr/>
      </w:r>
    </w:p>
    <w:p>
      <w:pPr>
        <w:pStyle w:val="style24"/>
      </w:pPr>
      <w:r>
        <w:rPr/>
      </w:r>
    </w:p>
    <w:p>
      <w:pPr>
        <w:pStyle w:val="style24"/>
        <w:jc w:val="left"/>
      </w:pPr>
      <w:r>
        <w:rPr>
          <w:rFonts w:ascii="Cambria" w:hAnsi="Cambria"/>
          <w:sz w:val="16"/>
          <w:szCs w:val="16"/>
        </w:rPr>
        <w:t>…</w:t>
      </w:r>
      <w:r>
        <w:rPr>
          <w:rFonts w:ascii="Cambria" w:hAnsi="Cambria"/>
          <w:sz w:val="16"/>
          <w:szCs w:val="16"/>
        </w:rPr>
        <w:t xml:space="preserve">........................................                    </w:t>
        <w:tab/>
        <w:tab/>
        <w:tab/>
        <w:tab/>
        <w:t xml:space="preserve">                                                     ………………………………</w:t>
      </w:r>
    </w:p>
    <w:p>
      <w:pPr>
        <w:pStyle w:val="style24"/>
      </w:pPr>
      <w:r>
        <w:rPr>
          <w:rFonts w:ascii="Cambria" w:hAnsi="Cambria"/>
          <w:sz w:val="16"/>
          <w:szCs w:val="16"/>
        </w:rPr>
        <w:t xml:space="preserve">       </w:t>
      </w:r>
      <w:r>
        <w:rPr>
          <w:rFonts w:ascii="Cambria" w:hAnsi="Cambria"/>
          <w:sz w:val="16"/>
          <w:szCs w:val="16"/>
        </w:rPr>
        <w:t>(pieczęć wykonawcy)                                                                                                                                               (miejscowość i data)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Cambria" w:hAnsi="Cambria"/>
          <w:b/>
        </w:rPr>
        <w:t>FORMULARZ OFERTOWY – Dostawa farb, materiałów budowlanych</w:t>
      </w:r>
    </w:p>
    <w:p>
      <w:pPr>
        <w:pStyle w:val="style0"/>
      </w:pPr>
      <w:r>
        <w:rPr/>
      </w:r>
    </w:p>
    <w:tbl>
      <w:tblPr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507"/>
        <w:gridCol w:w="3515"/>
        <w:gridCol w:w="1129"/>
        <w:gridCol w:w="1087"/>
        <w:gridCol w:w="1454"/>
        <w:gridCol w:w="1379"/>
      </w:tblGrid>
      <w:tr>
        <w:trPr>
          <w:trHeight w:hRule="atLeast" w:val="540"/>
          <w:cantSplit w:val="false"/>
        </w:trPr>
        <w:tc>
          <w:tcPr>
            <w:tcW w:type="dxa" w:w="50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1"/>
                <w:szCs w:val="21"/>
              </w:rPr>
              <w:t>L.p</w:t>
            </w:r>
          </w:p>
        </w:tc>
        <w:tc>
          <w:tcPr>
            <w:tcW w:type="dxa" w:w="351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1"/>
                <w:szCs w:val="21"/>
              </w:rPr>
              <w:t>Wyszczególnienie</w:t>
            </w:r>
          </w:p>
        </w:tc>
        <w:tc>
          <w:tcPr>
            <w:tcW w:type="dxa" w:w="112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1"/>
                <w:szCs w:val="21"/>
              </w:rPr>
              <w:t>j.m.</w:t>
            </w:r>
          </w:p>
        </w:tc>
        <w:tc>
          <w:tcPr>
            <w:tcW w:type="dxa" w:w="108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1"/>
                <w:szCs w:val="21"/>
              </w:rPr>
              <w:t>Ilość</w:t>
            </w:r>
          </w:p>
        </w:tc>
        <w:tc>
          <w:tcPr>
            <w:tcW w:type="dxa" w:w="145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1"/>
                <w:szCs w:val="21"/>
              </w:rPr>
              <w:t>Cena brutto</w:t>
            </w:r>
          </w:p>
        </w:tc>
        <w:tc>
          <w:tcPr>
            <w:tcW w:type="dxa" w:w="137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1"/>
                <w:szCs w:val="21"/>
              </w:rPr>
              <w:t>Wartość brutto</w:t>
            </w:r>
          </w:p>
        </w:tc>
      </w:tr>
      <w:tr>
        <w:trPr>
          <w:trHeight w:hRule="atLeast" w:val="492"/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Gipsar 20 kg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Emulsja biała „Śnieżka” 10l Eko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 xml:space="preserve">Lakier biały Jedynka 0,90 kg 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Lakier brązowy Jedynka 0,90 kg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Siatka ścierna do gładzi gipsowej-granulacja 100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Pigmenty do emulsji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trHeight w:hRule="atLeast" w:val="414"/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Taśma malarska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Klej w laskach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Unigrunt - 5l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Siatka wzmacniająca do łączenia płyt gipsowych 20 mb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11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Rozpuszczalnik uniwersalny 5l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Kołki rozporowe 10 cm (100szt)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13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Kołki rozporowe 7 cm (100szt)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14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Pędzle płaskie 6 cm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 w:val="false"/>
                <w:bCs w:val="false"/>
                <w:sz w:val="20"/>
                <w:szCs w:val="20"/>
              </w:rPr>
              <w:t>15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Pędzel krzywak 6 cm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Pędzel ławkowiec 180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Wałeczek malarski welurowy do lakieru 7 cm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Wałeczek malarski welurowy do lakieru 10 cm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Wałek malarski 20cm z rączką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Folia ochronna cienka 20m</w:t>
            </w:r>
            <w:r>
              <w:rPr>
                <w:rFonts w:ascii="Tahoma" w:hAnsi="Tahoma"/>
                <w:sz w:val="20"/>
                <w:szCs w:val="20"/>
              </w:rPr>
              <w:t>²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sz w:val="20"/>
                <w:szCs w:val="20"/>
              </w:rPr>
              <w:t>Smar 5kg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szt</w:t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0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351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left"/>
            </w:pPr>
            <w:r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type="dxa" w:w="112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08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4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13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200" w:before="0"/>
              <w:jc w:val="center"/>
            </w:pPr>
            <w:r>
              <w:rPr/>
            </w:r>
          </w:p>
        </w:tc>
      </w:tr>
    </w:tbl>
    <w:p>
      <w:pPr>
        <w:pStyle w:val="style0"/>
        <w:jc w:val="left"/>
      </w:pPr>
      <w:r>
        <w:rPr/>
      </w:r>
    </w:p>
    <w:p>
      <w:pPr>
        <w:pStyle w:val="style25"/>
        <w:numPr>
          <w:ilvl w:val="0"/>
          <w:numId w:val="1"/>
        </w:numPr>
        <w:tabs>
          <w:tab w:leader="none" w:pos="1428" w:val="left"/>
          <w:tab w:leader="none" w:pos="2148" w:val="left"/>
          <w:tab w:leader="none" w:pos="11232" w:val="right"/>
        </w:tabs>
        <w:jc w:val="both"/>
      </w:pPr>
      <w:r>
        <w:rPr>
          <w:rFonts w:ascii="Cambria" w:cs="Arial" w:hAnsi="Cambria"/>
        </w:rPr>
        <w:t>Wszystkie wartości w formularzu</w:t>
      </w:r>
      <w:r>
        <w:rPr>
          <w:rFonts w:ascii="Cambria" w:cs="Arial" w:eastAsia="Calibri" w:hAnsi="Cambria"/>
        </w:rPr>
        <w:t xml:space="preserve"> należy zaokrąglić do dwóch miejsc po przecinku.</w:t>
      </w:r>
    </w:p>
    <w:p>
      <w:pPr>
        <w:pStyle w:val="style25"/>
        <w:numPr>
          <w:ilvl w:val="0"/>
          <w:numId w:val="1"/>
        </w:numPr>
        <w:tabs>
          <w:tab w:leader="none" w:pos="1428" w:val="left"/>
          <w:tab w:leader="none" w:pos="2148" w:val="left"/>
          <w:tab w:leader="none" w:pos="11232" w:val="right"/>
        </w:tabs>
        <w:jc w:val="both"/>
      </w:pPr>
      <w:r>
        <w:rPr>
          <w:rFonts w:ascii="Cambria" w:cs="Arial" w:eastAsia="Calibri" w:hAnsi="Cambria"/>
        </w:rPr>
        <w:t>Wartość brutto ogółem stanowi cenę oferty. Do oceny będzie brana pod uwagę cena brutto oferty.</w:t>
      </w:r>
    </w:p>
    <w:p>
      <w:pPr>
        <w:pStyle w:val="style25"/>
        <w:numPr>
          <w:ilvl w:val="0"/>
          <w:numId w:val="1"/>
        </w:numPr>
        <w:tabs>
          <w:tab w:leader="none" w:pos="1428" w:val="left"/>
          <w:tab w:leader="none" w:pos="2148" w:val="left"/>
          <w:tab w:leader="none" w:pos="11232" w:val="right"/>
        </w:tabs>
        <w:jc w:val="both"/>
      </w:pPr>
      <w:r>
        <w:rPr>
          <w:rFonts w:ascii="Cambria" w:cs="Arial" w:eastAsia="Calibri" w:hAnsi="Cambria"/>
        </w:rPr>
        <w:t>Wszystkie towary muszą być oryginalnie zapakowane, opakowania muszą być nienaruszone.</w:t>
      </w:r>
    </w:p>
    <w:p>
      <w:pPr>
        <w:pStyle w:val="style25"/>
        <w:numPr>
          <w:ilvl w:val="0"/>
          <w:numId w:val="1"/>
        </w:numPr>
        <w:tabs>
          <w:tab w:leader="none" w:pos="1428" w:val="left"/>
          <w:tab w:leader="none" w:pos="2148" w:val="left"/>
          <w:tab w:leader="none" w:pos="11232" w:val="right"/>
        </w:tabs>
        <w:jc w:val="both"/>
      </w:pPr>
      <w:r>
        <w:rPr>
          <w:rFonts w:ascii="Cambria" w:cs="Arial" w:eastAsia="Calibri" w:hAnsi="Cambria"/>
          <w:color w:val="000000"/>
        </w:rPr>
        <w:t>Minimalny okres ważności towarów – grudzień 2013r</w:t>
      </w:r>
    </w:p>
    <w:p>
      <w:pPr>
        <w:pStyle w:val="style25"/>
        <w:numPr>
          <w:ilvl w:val="0"/>
          <w:numId w:val="1"/>
        </w:numPr>
        <w:jc w:val="both"/>
      </w:pPr>
      <w:r>
        <w:rPr>
          <w:rFonts w:ascii="Cambria" w:cs="Arial" w:eastAsia="Calibri" w:hAnsi="Cambria"/>
        </w:rPr>
        <w:t>Wykonawca zobowiązuje się dostarczyć przedmiot zamówienia do siedziby zamawiającego w ciągu trzech dni od daty rozstrzygnięcia postępowania na własny koszt.</w:t>
      </w:r>
    </w:p>
    <w:p>
      <w:pPr>
        <w:pStyle w:val="style0"/>
        <w:tabs>
          <w:tab w:leader="none" w:pos="708" w:val="left"/>
          <w:tab w:leader="none" w:pos="720" w:val="right"/>
        </w:tabs>
        <w:spacing w:line="276" w:lineRule="auto"/>
      </w:pPr>
      <w:r>
        <w:rPr>
          <w:rFonts w:ascii="Cambria" w:cs="Arial" w:hAnsi="Cambria"/>
          <w:sz w:val="22"/>
          <w:szCs w:val="22"/>
        </w:rPr>
        <w:t xml:space="preserve">  </w:t>
      </w:r>
    </w:p>
    <w:p>
      <w:pPr>
        <w:pStyle w:val="style25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24"/>
        <w:ind w:firstLine="708" w:left="3540" w:right="0"/>
      </w:pPr>
      <w:r>
        <w:rPr/>
        <w:t xml:space="preserve">  …………</w:t>
      </w:r>
      <w:r>
        <w:rPr/>
        <w:t>.…………………………………….</w:t>
        <w:tab/>
      </w:r>
    </w:p>
    <w:p>
      <w:pPr>
        <w:pStyle w:val="style24"/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</w:rPr>
        <w:t>(pieczątka i podpis Wykonawcy)</w:t>
      </w:r>
    </w:p>
    <w:p>
      <w:pPr>
        <w:pStyle w:val="style24"/>
      </w:pPr>
      <w:r>
        <w:rPr>
          <w:sz w:val="16"/>
          <w:szCs w:val="16"/>
        </w:rPr>
        <w:t xml:space="preserve">                                                                                        </w:t>
      </w:r>
    </w:p>
    <w:p>
      <w:pPr>
        <w:pStyle w:val="style0"/>
        <w:spacing w:after="200" w:before="0"/>
        <w:jc w:val="both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right"/>
    </w:pPr>
    <w:r>
      <w:rPr>
        <w:rFonts w:ascii="Cambria" w:hAnsi="Cambria"/>
      </w:rPr>
      <w:t xml:space="preserve">Strona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Cambria" w:hAnsi="Cambria"/>
      </w:rPr>
      <w:t xml:space="preserve"> z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  <w:p>
    <w:pPr>
      <w:pStyle w:val="style26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right"/>
    </w:pPr>
    <w:r>
      <w:rPr>
        <w:rFonts w:ascii="Cambria" w:hAnsi="Cambria"/>
        <w:i/>
        <w:sz w:val="18"/>
        <w:szCs w:val="18"/>
      </w:rPr>
      <w:t>Załącznik nr 1</w:t>
    </w:r>
  </w:p>
  <w:p>
    <w:pPr>
      <w:pStyle w:val="style24"/>
      <w:jc w:val="right"/>
    </w:pPr>
    <w:r>
      <w:rPr>
        <w:rFonts w:ascii="Cambria" w:hAnsi="Cambria"/>
        <w:i/>
        <w:sz w:val="18"/>
        <w:szCs w:val="18"/>
      </w:rPr>
      <w:t>do zapytania cenowego nr 4/2013/ZC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Lucida Sans Unicode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Tekst dymka Znak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Nagłówek"/>
    <w:basedOn w:val="style0"/>
    <w:next w:val="style20"/>
    <w:pPr>
      <w:keepNext/>
      <w:suppressLineNumbers/>
      <w:tabs>
        <w:tab w:leader="none" w:pos="4819" w:val="center"/>
        <w:tab w:leader="none" w:pos="9638" w:val="right"/>
      </w:tabs>
      <w:spacing w:after="0" w:before="240" w:line="100" w:lineRule="atLeast"/>
    </w:pPr>
    <w:rPr>
      <w:rFonts w:ascii="Arial" w:cs="Mangal" w:eastAsia="Lucida Sans Unicode" w:hAnsi="Arial"/>
      <w:sz w:val="28"/>
      <w:szCs w:val="28"/>
    </w:rPr>
  </w:style>
  <w:style w:styleId="style20" w:type="paragraph">
    <w:name w:val="Treść tekstu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Podpis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Indeks"/>
    <w:basedOn w:val="style0"/>
    <w:next w:val="style23"/>
    <w:pPr>
      <w:suppressLineNumbers/>
    </w:pPr>
    <w:rPr>
      <w:rFonts w:cs="Mangal"/>
    </w:rPr>
  </w:style>
  <w:style w:styleId="style24" w:type="paragraph">
    <w:name w:val="No Spacing"/>
    <w:next w:val="style24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Lucida Sans Unicode" w:hAnsi="Calibri"/>
      <w:color w:val="00000A"/>
      <w:sz w:val="22"/>
      <w:szCs w:val="22"/>
      <w:lang w:bidi="ar-SA" w:eastAsia="en-US" w:val="pl-PL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  <w:style w:styleId="style26" w:type="paragraph">
    <w:name w:val="Stopka"/>
    <w:basedOn w:val="style0"/>
    <w:next w:val="style26"/>
    <w:pPr>
      <w:suppressLineNumbers/>
      <w:tabs>
        <w:tab w:leader="none" w:pos="4536" w:val="center"/>
        <w:tab w:leader="none" w:pos="9072" w:val="right"/>
      </w:tabs>
      <w:spacing w:after="0" w:before="0" w:line="100" w:lineRule="atLeast"/>
    </w:pPr>
    <w:rPr/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Zawartość tabeli"/>
    <w:basedOn w:val="style0"/>
    <w:next w:val="style28"/>
    <w:pPr>
      <w:suppressLineNumbers/>
    </w:pPr>
    <w:rPr/>
  </w:style>
  <w:style w:styleId="style29" w:type="paragraph">
    <w:name w:val="Nagłówek tabeli"/>
    <w:basedOn w:val="style28"/>
    <w:next w:val="style29"/>
    <w:pPr>
      <w:suppressLineNumbers/>
      <w:jc w:val="center"/>
    </w:pPr>
    <w:rPr>
      <w:b/>
      <w:bCs/>
    </w:rPr>
  </w:style>
  <w:style w:styleId="style30" w:type="paragraph">
    <w:name w:val="Nagłówek"/>
    <w:basedOn w:val="style0"/>
    <w:next w:val="style30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2010-12-14T12:47:00.00Z</dcterms:created>
  <dc:creator>Paweł Bochenek</dc:creator>
  <cp:lastModifiedBy>Paweł Bochenek</cp:lastModifiedBy>
  <cp:lastPrinted>2013-05-21T07:36:46.14Z</cp:lastPrinted>
  <dcterms:modified xsi:type="dcterms:W3CDTF">2012-01-04T12:45:00.00Z</dcterms:modified>
  <cp:revision>28</cp:revision>
</cp:coreProperties>
</file>